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Dualchi</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Nuo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